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45" w:rsidRDefault="00191B45" w:rsidP="00191B45">
      <w:pPr>
        <w:spacing w:line="280" w:lineRule="exact"/>
        <w:ind w:right="140" w:firstLine="0"/>
        <w:jc w:val="both"/>
        <w:rPr>
          <w:sz w:val="30"/>
          <w:szCs w:val="30"/>
        </w:rPr>
      </w:pPr>
      <w:r>
        <w:rPr>
          <w:sz w:val="30"/>
          <w:szCs w:val="30"/>
        </w:rPr>
        <w:t>ПРОЕКТ ПОЛОЖЕНИЯ</w:t>
      </w:r>
    </w:p>
    <w:p w:rsidR="00191B45" w:rsidRPr="0040157E" w:rsidRDefault="00191B45" w:rsidP="00191B45">
      <w:pPr>
        <w:spacing w:line="280" w:lineRule="exact"/>
        <w:ind w:right="4395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проведении </w:t>
      </w:r>
      <w:r w:rsidRPr="00B57265">
        <w:rPr>
          <w:sz w:val="30"/>
          <w:szCs w:val="30"/>
        </w:rPr>
        <w:t xml:space="preserve">Республиканского конкурса технического творчества учащейся молодежи </w:t>
      </w:r>
      <w:r w:rsidRPr="00B57265">
        <w:rPr>
          <w:bCs/>
          <w:kern w:val="36"/>
          <w:sz w:val="30"/>
          <w:szCs w:val="30"/>
        </w:rPr>
        <w:t>«</w:t>
      </w:r>
      <w:r w:rsidRPr="00B57265">
        <w:rPr>
          <w:sz w:val="30"/>
          <w:szCs w:val="30"/>
          <w:lang w:bidi="en-US"/>
        </w:rPr>
        <w:t>Инженеры будущего</w:t>
      </w:r>
      <w:r w:rsidRPr="00B57265">
        <w:rPr>
          <w:bCs/>
          <w:kern w:val="36"/>
          <w:sz w:val="30"/>
          <w:szCs w:val="30"/>
        </w:rPr>
        <w:t>»</w:t>
      </w:r>
      <w:r w:rsidRPr="00B57265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E52565">
        <w:rPr>
          <w:sz w:val="30"/>
          <w:szCs w:val="30"/>
        </w:rPr>
        <w:t>«TechSkills</w:t>
      </w:r>
      <w:r>
        <w:rPr>
          <w:sz w:val="30"/>
          <w:szCs w:val="30"/>
        </w:rPr>
        <w:t>»)</w:t>
      </w:r>
    </w:p>
    <w:p w:rsidR="00191B45" w:rsidRDefault="00191B45" w:rsidP="00191B45">
      <w:pPr>
        <w:spacing w:line="280" w:lineRule="exact"/>
        <w:ind w:right="140" w:firstLine="0"/>
        <w:jc w:val="both"/>
        <w:rPr>
          <w:sz w:val="30"/>
          <w:szCs w:val="30"/>
        </w:rPr>
      </w:pPr>
    </w:p>
    <w:p w:rsidR="00191B45" w:rsidRPr="00E52565" w:rsidRDefault="00191B45" w:rsidP="00191B45">
      <w:pPr>
        <w:pStyle w:val="a3"/>
        <w:numPr>
          <w:ilvl w:val="1"/>
          <w:numId w:val="2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B45">
        <w:rPr>
          <w:rFonts w:ascii="Times New Roman" w:hAnsi="Times New Roman" w:cs="Times New Roman"/>
          <w:sz w:val="30"/>
          <w:szCs w:val="30"/>
        </w:rPr>
        <w:t>Республиканск</w:t>
      </w:r>
      <w:r>
        <w:rPr>
          <w:rFonts w:ascii="Times New Roman" w:hAnsi="Times New Roman" w:cs="Times New Roman"/>
          <w:sz w:val="30"/>
          <w:szCs w:val="30"/>
        </w:rPr>
        <w:t>ий конкурс</w:t>
      </w:r>
      <w:r w:rsidRPr="00191B45">
        <w:rPr>
          <w:rFonts w:ascii="Times New Roman" w:hAnsi="Times New Roman" w:cs="Times New Roman"/>
          <w:sz w:val="30"/>
          <w:szCs w:val="30"/>
        </w:rPr>
        <w:t xml:space="preserve"> технического творчества учащейся молодежи «Инженеры будущего» </w:t>
      </w:r>
      <w:r>
        <w:rPr>
          <w:rFonts w:ascii="Times New Roman" w:hAnsi="Times New Roman" w:cs="Times New Roman"/>
          <w:sz w:val="30"/>
          <w:szCs w:val="30"/>
        </w:rPr>
        <w:t xml:space="preserve">(«TechSkills») </w:t>
      </w:r>
      <w:r w:rsidRPr="00E52565">
        <w:rPr>
          <w:rFonts w:ascii="Times New Roman" w:hAnsi="Times New Roman" w:cs="Times New Roman"/>
          <w:sz w:val="30"/>
          <w:szCs w:val="30"/>
        </w:rPr>
        <w:t xml:space="preserve">проводится в целях привлечения детей и молодежи к техническому творчеству, совершенствования системы профессиональной ориентации </w:t>
      </w:r>
      <w:r w:rsidR="00CD16C7">
        <w:rPr>
          <w:rFonts w:ascii="Times New Roman" w:hAnsi="Times New Roman" w:cs="Times New Roman"/>
          <w:sz w:val="30"/>
          <w:szCs w:val="30"/>
        </w:rPr>
        <w:t>об</w:t>
      </w:r>
      <w:r w:rsidR="00CD16C7" w:rsidRPr="00E52565">
        <w:rPr>
          <w:rFonts w:ascii="Times New Roman" w:hAnsi="Times New Roman" w:cs="Times New Roman"/>
          <w:sz w:val="30"/>
          <w:szCs w:val="30"/>
        </w:rPr>
        <w:t>учающейся</w:t>
      </w:r>
      <w:r w:rsidRPr="00E52565">
        <w:rPr>
          <w:rFonts w:ascii="Times New Roman" w:hAnsi="Times New Roman" w:cs="Times New Roman"/>
          <w:sz w:val="30"/>
          <w:szCs w:val="30"/>
        </w:rPr>
        <w:t xml:space="preserve"> молодежи, создания возможностей для освоения основ профессиональных компетенций учащимися, выявления и поддержки одаренной молодежи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E52565">
        <w:rPr>
          <w:rFonts w:ascii="Times New Roman" w:hAnsi="Times New Roman"/>
          <w:sz w:val="30"/>
          <w:szCs w:val="30"/>
        </w:rPr>
        <w:t xml:space="preserve">. </w:t>
      </w:r>
    </w:p>
    <w:p w:rsidR="00191B45" w:rsidRPr="001B61BD" w:rsidRDefault="00191B45" w:rsidP="00191B45">
      <w:pPr>
        <w:pStyle w:val="a3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9" w:right="140"/>
        <w:jc w:val="both"/>
        <w:rPr>
          <w:rFonts w:ascii="Times New Roman" w:hAnsi="Times New Roman" w:cs="Times New Roman"/>
          <w:sz w:val="30"/>
          <w:szCs w:val="30"/>
        </w:rPr>
      </w:pPr>
      <w:r w:rsidRPr="001B61BD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>
        <w:rPr>
          <w:rFonts w:ascii="Times New Roman" w:hAnsi="Times New Roman" w:cs="Times New Roman"/>
          <w:sz w:val="30"/>
          <w:szCs w:val="30"/>
        </w:rPr>
        <w:t>Республиканского</w:t>
      </w:r>
      <w:r w:rsidRPr="001B61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1B61BD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191B45" w:rsidRPr="00EA21B2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1B2">
        <w:rPr>
          <w:rFonts w:ascii="Times New Roman" w:hAnsi="Times New Roman" w:cs="Times New Roman"/>
          <w:sz w:val="30"/>
          <w:szCs w:val="30"/>
        </w:rPr>
        <w:t>развитие творческих способностей обучающихся, содействие их профессиональному самоопре</w:t>
      </w:r>
      <w:r>
        <w:rPr>
          <w:rFonts w:ascii="Times New Roman" w:hAnsi="Times New Roman" w:cs="Times New Roman"/>
          <w:sz w:val="30"/>
          <w:szCs w:val="30"/>
        </w:rPr>
        <w:t>делению и самореализации</w:t>
      </w:r>
      <w:r w:rsidRPr="00EA21B2">
        <w:rPr>
          <w:rFonts w:ascii="Times New Roman" w:hAnsi="Times New Roman" w:cs="Times New Roman"/>
          <w:sz w:val="30"/>
          <w:szCs w:val="30"/>
        </w:rPr>
        <w:t>;</w:t>
      </w:r>
    </w:p>
    <w:p w:rsidR="00191B45" w:rsidRPr="00EA21B2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1B2">
        <w:rPr>
          <w:rFonts w:ascii="Times New Roman" w:hAnsi="Times New Roman" w:cs="Times New Roman"/>
          <w:sz w:val="30"/>
          <w:szCs w:val="30"/>
        </w:rPr>
        <w:t>формирование у детей и молодежи интереса к инновационному и научно-техническому творчеству, развитие навыков и умений технического конструирования и моделирования, логического и критического мышления, умения решать нестандартные задачи, креативных способностей;</w:t>
      </w:r>
    </w:p>
    <w:p w:rsidR="00191B45" w:rsidRPr="00EA21B2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1B2">
        <w:rPr>
          <w:rFonts w:ascii="Times New Roman" w:hAnsi="Times New Roman" w:cs="Times New Roman"/>
          <w:sz w:val="30"/>
          <w:szCs w:val="30"/>
        </w:rPr>
        <w:t xml:space="preserve">осуществление </w:t>
      </w:r>
      <w:proofErr w:type="spellStart"/>
      <w:r w:rsidRPr="00EA21B2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EA21B2">
        <w:rPr>
          <w:rFonts w:ascii="Times New Roman" w:hAnsi="Times New Roman" w:cs="Times New Roman"/>
          <w:sz w:val="30"/>
          <w:szCs w:val="30"/>
        </w:rPr>
        <w:t xml:space="preserve"> работы, выявление и поддержка одаренной молодежи, формирование профессиональных компетенций в сфере робототехники и проектно-технической деятельности, повышение мотивации к предметам естественно-математической и инженерной направленности;</w:t>
      </w:r>
    </w:p>
    <w:p w:rsidR="00191B45" w:rsidRPr="00EA21B2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1B2">
        <w:rPr>
          <w:rFonts w:ascii="Times New Roman" w:hAnsi="Times New Roman" w:cs="Times New Roman"/>
          <w:sz w:val="30"/>
          <w:szCs w:val="30"/>
        </w:rPr>
        <w:t>создание условий для социализации молодежи, развития товарищества, обмена опытом;</w:t>
      </w:r>
    </w:p>
    <w:p w:rsidR="00191B45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1B2">
        <w:rPr>
          <w:rFonts w:ascii="Times New Roman" w:hAnsi="Times New Roman" w:cs="Times New Roman"/>
          <w:sz w:val="30"/>
          <w:szCs w:val="30"/>
        </w:rPr>
        <w:t>распространение передового педагогического и творческого опыта, эффективных и инновационных форм организации образовательного процесса и воспитательной работы с молодежью, совершенствование профессионального мастерства педагогов по развитию творческих способностей обучающихся;</w:t>
      </w:r>
    </w:p>
    <w:p w:rsidR="00191B45" w:rsidRDefault="00191B45" w:rsidP="00191B4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541E1">
        <w:rPr>
          <w:rFonts w:ascii="Times New Roman" w:hAnsi="Times New Roman"/>
          <w:sz w:val="30"/>
          <w:szCs w:val="30"/>
        </w:rPr>
        <w:t xml:space="preserve">Организатором </w:t>
      </w:r>
      <w:r>
        <w:rPr>
          <w:rFonts w:ascii="Times New Roman" w:hAnsi="Times New Roman"/>
          <w:sz w:val="30"/>
          <w:szCs w:val="30"/>
        </w:rPr>
        <w:t>Республиканского</w:t>
      </w:r>
      <w:r w:rsidRPr="00762AE6">
        <w:rPr>
          <w:rFonts w:ascii="Times New Roman" w:hAnsi="Times New Roman"/>
          <w:sz w:val="30"/>
          <w:szCs w:val="30"/>
        </w:rPr>
        <w:t xml:space="preserve"> </w:t>
      </w:r>
      <w:r w:rsidRPr="00191B45">
        <w:rPr>
          <w:rFonts w:ascii="Times New Roman" w:hAnsi="Times New Roman"/>
          <w:sz w:val="30"/>
          <w:szCs w:val="30"/>
        </w:rPr>
        <w:t>конкурса технического творчества учащейся молодежи «Инженеры будущего»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A541E1">
        <w:rPr>
          <w:rFonts w:ascii="Times New Roman" w:hAnsi="Times New Roman"/>
          <w:sz w:val="30"/>
          <w:szCs w:val="30"/>
        </w:rPr>
        <w:t>является Министерство образования Республики Беларусь</w:t>
      </w:r>
    </w:p>
    <w:p w:rsidR="00191B45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1E1">
        <w:rPr>
          <w:rFonts w:ascii="Times New Roman" w:hAnsi="Times New Roman"/>
          <w:sz w:val="30"/>
          <w:szCs w:val="30"/>
        </w:rPr>
        <w:t xml:space="preserve">Координацию деятельности по организационному и методическому обеспечению подготовки и проведения </w:t>
      </w: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Pr="00191B45">
        <w:rPr>
          <w:rFonts w:ascii="Times New Roman" w:hAnsi="Times New Roman"/>
          <w:sz w:val="30"/>
          <w:szCs w:val="30"/>
        </w:rPr>
        <w:t>конкурса технического творчества учащейся молодежи «Инженеры будущего»</w:t>
      </w:r>
      <w:r w:rsidRPr="00B93ACD">
        <w:rPr>
          <w:rFonts w:ascii="Times New Roman" w:hAnsi="Times New Roman"/>
          <w:sz w:val="30"/>
          <w:szCs w:val="30"/>
        </w:rPr>
        <w:t xml:space="preserve"> </w:t>
      </w:r>
      <w:r w:rsidRPr="00A541E1">
        <w:rPr>
          <w:rFonts w:ascii="Times New Roman" w:hAnsi="Times New Roman"/>
          <w:sz w:val="30"/>
          <w:szCs w:val="30"/>
        </w:rPr>
        <w:t>осуществляет учреждение образования «Национальный детский технопарк»</w:t>
      </w:r>
      <w:r w:rsidRPr="00A541E1">
        <w:rPr>
          <w:rFonts w:ascii="Times New Roman" w:eastAsia="Times New Roman" w:hAnsi="Times New Roman"/>
          <w:sz w:val="30"/>
          <w:szCs w:val="30"/>
        </w:rPr>
        <w:t>.</w:t>
      </w:r>
    </w:p>
    <w:p w:rsidR="00191B45" w:rsidRPr="005A5112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Республиканский конкурс</w:t>
      </w:r>
      <w:r w:rsidRPr="00762AE6">
        <w:rPr>
          <w:rFonts w:ascii="Times New Roman" w:hAnsi="Times New Roman"/>
          <w:sz w:val="30"/>
          <w:szCs w:val="30"/>
        </w:rPr>
        <w:t xml:space="preserve"> </w:t>
      </w:r>
      <w:r w:rsidRPr="005A5112">
        <w:rPr>
          <w:rFonts w:ascii="Times New Roman" w:hAnsi="Times New Roman" w:cs="Times New Roman"/>
          <w:sz w:val="30"/>
          <w:szCs w:val="30"/>
        </w:rPr>
        <w:t>проводится в четыре этапа:</w:t>
      </w:r>
    </w:p>
    <w:p w:rsidR="00191B45" w:rsidRPr="00B41015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41015">
        <w:rPr>
          <w:rFonts w:ascii="Times New Roman" w:hAnsi="Times New Roman" w:cs="Times New Roman"/>
          <w:sz w:val="30"/>
          <w:szCs w:val="30"/>
        </w:rPr>
        <w:t xml:space="preserve">первый этап (отборочный)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1015">
        <w:rPr>
          <w:rFonts w:ascii="Times New Roman" w:hAnsi="Times New Roman" w:cs="Times New Roman"/>
          <w:sz w:val="30"/>
          <w:szCs w:val="30"/>
        </w:rPr>
        <w:t xml:space="preserve"> в учреждениях образования;</w:t>
      </w:r>
    </w:p>
    <w:p w:rsidR="00191B45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41015">
        <w:rPr>
          <w:rFonts w:ascii="Times New Roman" w:hAnsi="Times New Roman" w:cs="Times New Roman"/>
          <w:sz w:val="30"/>
          <w:szCs w:val="30"/>
        </w:rPr>
        <w:t xml:space="preserve">второй этап (отборочный)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1015">
        <w:rPr>
          <w:rFonts w:ascii="Times New Roman" w:hAnsi="Times New Roman" w:cs="Times New Roman"/>
          <w:sz w:val="30"/>
          <w:szCs w:val="30"/>
        </w:rPr>
        <w:t xml:space="preserve"> районный, районный для городов, имеющих деление на район</w:t>
      </w:r>
      <w:r>
        <w:rPr>
          <w:rFonts w:ascii="Times New Roman" w:hAnsi="Times New Roman" w:cs="Times New Roman"/>
          <w:sz w:val="30"/>
          <w:szCs w:val="30"/>
        </w:rPr>
        <w:t>ы, городской (кроме г. Минска);</w:t>
      </w:r>
    </w:p>
    <w:p w:rsidR="00191B45" w:rsidRPr="00B41015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41015">
        <w:rPr>
          <w:rFonts w:ascii="Times New Roman" w:hAnsi="Times New Roman" w:cs="Times New Roman"/>
          <w:sz w:val="30"/>
          <w:szCs w:val="30"/>
        </w:rPr>
        <w:lastRenderedPageBreak/>
        <w:t xml:space="preserve">третий этап (отборочный)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1015">
        <w:rPr>
          <w:rFonts w:ascii="Times New Roman" w:hAnsi="Times New Roman" w:cs="Times New Roman"/>
          <w:sz w:val="30"/>
          <w:szCs w:val="30"/>
        </w:rPr>
        <w:t xml:space="preserve"> областной, Минский городской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91B45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41015">
        <w:rPr>
          <w:rFonts w:ascii="Times New Roman" w:hAnsi="Times New Roman" w:cs="Times New Roman"/>
          <w:sz w:val="30"/>
          <w:szCs w:val="30"/>
        </w:rPr>
        <w:t xml:space="preserve">четвертый этап (заключительный)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1015">
        <w:rPr>
          <w:rFonts w:ascii="Times New Roman" w:hAnsi="Times New Roman" w:cs="Times New Roman"/>
          <w:sz w:val="30"/>
          <w:szCs w:val="30"/>
        </w:rPr>
        <w:t xml:space="preserve"> республиканский.</w:t>
      </w:r>
    </w:p>
    <w:p w:rsidR="00191B45" w:rsidRDefault="00191B45" w:rsidP="00191B4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ACD">
        <w:rPr>
          <w:rFonts w:ascii="Times New Roman" w:hAnsi="Times New Roman" w:cs="Times New Roman"/>
          <w:sz w:val="30"/>
          <w:szCs w:val="30"/>
        </w:rPr>
        <w:t xml:space="preserve">Сроки проведения первого, второго и третьего этапов </w:t>
      </w:r>
      <w:r>
        <w:rPr>
          <w:rFonts w:ascii="Times New Roman" w:hAnsi="Times New Roman"/>
          <w:sz w:val="30"/>
          <w:szCs w:val="30"/>
        </w:rPr>
        <w:t>Республиканского</w:t>
      </w:r>
      <w:r w:rsidRPr="00762AE6">
        <w:rPr>
          <w:rFonts w:ascii="Times New Roman" w:hAnsi="Times New Roman"/>
          <w:sz w:val="30"/>
          <w:szCs w:val="30"/>
        </w:rPr>
        <w:t xml:space="preserve"> </w:t>
      </w:r>
      <w:r w:rsidRPr="00191B45">
        <w:rPr>
          <w:rFonts w:ascii="Times New Roman" w:hAnsi="Times New Roman"/>
          <w:sz w:val="30"/>
          <w:szCs w:val="30"/>
        </w:rPr>
        <w:t>конкурса технического творчества учащейся молодежи «Инженеры будущего»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B93ACD">
        <w:rPr>
          <w:rFonts w:ascii="Times New Roman" w:hAnsi="Times New Roman" w:cs="Times New Roman"/>
          <w:sz w:val="30"/>
          <w:szCs w:val="30"/>
        </w:rPr>
        <w:t>предшествуют срокам проведения заключительного этапа и устанавливаются учреждениями образования, иными организациями, соответствующими структурными подразделениями исполнительных и распорядительных органов, осуществляющими государственно-властные полномочия в сфере образования.</w:t>
      </w:r>
    </w:p>
    <w:p w:rsidR="00191B45" w:rsidRPr="005765AA" w:rsidRDefault="00191B45" w:rsidP="00191B45">
      <w:pPr>
        <w:pStyle w:val="a3"/>
        <w:tabs>
          <w:tab w:val="left" w:pos="284"/>
          <w:tab w:val="left" w:pos="426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541E1">
        <w:rPr>
          <w:rFonts w:ascii="Times New Roman" w:hAnsi="Times New Roman"/>
          <w:sz w:val="30"/>
          <w:szCs w:val="30"/>
        </w:rPr>
        <w:t xml:space="preserve">Заключительный этап </w:t>
      </w:r>
      <w:r>
        <w:rPr>
          <w:rFonts w:ascii="Times New Roman" w:hAnsi="Times New Roman"/>
          <w:sz w:val="30"/>
          <w:szCs w:val="30"/>
        </w:rPr>
        <w:t>Республиканского</w:t>
      </w:r>
      <w:r w:rsidRPr="00762AE6">
        <w:rPr>
          <w:rFonts w:ascii="Times New Roman" w:hAnsi="Times New Roman"/>
          <w:sz w:val="30"/>
          <w:szCs w:val="30"/>
        </w:rPr>
        <w:t xml:space="preserve"> </w:t>
      </w:r>
      <w:r w:rsidRPr="00191B45">
        <w:rPr>
          <w:rFonts w:ascii="Times New Roman" w:hAnsi="Times New Roman"/>
          <w:sz w:val="30"/>
          <w:szCs w:val="30"/>
        </w:rPr>
        <w:t>конкурса технического творчества учащейся молодежи «Инженеры будущего»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A541E1">
        <w:rPr>
          <w:rFonts w:ascii="Times New Roman" w:hAnsi="Times New Roman"/>
          <w:sz w:val="30"/>
          <w:szCs w:val="30"/>
        </w:rPr>
        <w:t xml:space="preserve">проводится </w:t>
      </w:r>
      <w:r w:rsidRPr="00191B45">
        <w:rPr>
          <w:rFonts w:ascii="Times New Roman" w:hAnsi="Times New Roman"/>
          <w:sz w:val="30"/>
          <w:szCs w:val="30"/>
        </w:rPr>
        <w:t>19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A541E1">
        <w:rPr>
          <w:rFonts w:ascii="Times New Roman" w:hAnsi="Times New Roman"/>
          <w:sz w:val="30"/>
          <w:szCs w:val="30"/>
        </w:rPr>
        <w:t>2</w:t>
      </w:r>
      <w:r w:rsidRPr="00191B45">
        <w:rPr>
          <w:rFonts w:ascii="Times New Roman" w:hAnsi="Times New Roman"/>
          <w:sz w:val="30"/>
          <w:szCs w:val="30"/>
        </w:rPr>
        <w:t>1</w:t>
      </w:r>
      <w:r w:rsidRPr="00A541E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марта</w:t>
      </w:r>
      <w:r w:rsidRPr="00A541E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2025</w:t>
      </w:r>
      <w:r w:rsidRPr="00A541E1">
        <w:rPr>
          <w:rFonts w:ascii="Times New Roman" w:hAnsi="Times New Roman"/>
          <w:sz w:val="30"/>
          <w:szCs w:val="30"/>
        </w:rPr>
        <w:t xml:space="preserve"> года в </w:t>
      </w:r>
      <w:r w:rsidRPr="00A541E1">
        <w:rPr>
          <w:rFonts w:ascii="Times New Roman" w:hAnsi="Times New Roman"/>
          <w:sz w:val="30"/>
          <w:szCs w:val="30"/>
          <w:shd w:val="clear" w:color="auto" w:fill="FFFFFF"/>
        </w:rPr>
        <w:t>учреждении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образования</w:t>
      </w:r>
      <w:r w:rsidRPr="00A541E1">
        <w:rPr>
          <w:rFonts w:ascii="Times New Roman" w:hAnsi="Times New Roman"/>
          <w:sz w:val="30"/>
          <w:szCs w:val="30"/>
          <w:shd w:val="clear" w:color="auto" w:fill="FFFFFF"/>
        </w:rPr>
        <w:t xml:space="preserve"> «</w:t>
      </w:r>
      <w:r>
        <w:rPr>
          <w:rFonts w:ascii="Times New Roman" w:hAnsi="Times New Roman"/>
          <w:sz w:val="30"/>
          <w:szCs w:val="30"/>
          <w:shd w:val="clear" w:color="auto" w:fill="FFFFFF"/>
        </w:rPr>
        <w:t>Национальный детский технопарк</w:t>
      </w:r>
      <w:r w:rsidRPr="00A541E1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Pr="00A541E1">
        <w:rPr>
          <w:rFonts w:ascii="Times New Roman" w:hAnsi="Times New Roman"/>
          <w:sz w:val="30"/>
          <w:szCs w:val="30"/>
        </w:rPr>
        <w:t xml:space="preserve"> по адресу:</w:t>
      </w:r>
      <w:r w:rsidRPr="00A541E1">
        <w:rPr>
          <w:rFonts w:ascii="Times New Roman" w:hAnsi="Times New Roman"/>
          <w:sz w:val="30"/>
          <w:szCs w:val="30"/>
          <w:shd w:val="clear" w:color="auto" w:fill="FFFFFF"/>
        </w:rPr>
        <w:t xml:space="preserve"> г. </w:t>
      </w:r>
      <w:r>
        <w:rPr>
          <w:rFonts w:ascii="Times New Roman" w:hAnsi="Times New Roman"/>
          <w:sz w:val="30"/>
          <w:szCs w:val="30"/>
          <w:shd w:val="clear" w:color="auto" w:fill="FFFFFF"/>
        </w:rPr>
        <w:t>Минск</w:t>
      </w:r>
      <w:r w:rsidRPr="00A541E1">
        <w:rPr>
          <w:rFonts w:ascii="Times New Roman" w:hAnsi="Times New Roman"/>
          <w:sz w:val="30"/>
          <w:szCs w:val="30"/>
          <w:shd w:val="clear" w:color="auto" w:fill="FFFFFF"/>
        </w:rPr>
        <w:t>, ул.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Франциска </w:t>
      </w:r>
      <w:r w:rsidRPr="005765AA">
        <w:rPr>
          <w:rFonts w:ascii="Times New Roman" w:hAnsi="Times New Roman" w:cs="Times New Roman"/>
          <w:sz w:val="30"/>
          <w:szCs w:val="30"/>
          <w:shd w:val="clear" w:color="auto" w:fill="FFFFFF"/>
        </w:rPr>
        <w:t>Скорины, д. 25 корп.3.</w:t>
      </w:r>
    </w:p>
    <w:p w:rsidR="00191B45" w:rsidRPr="005765AA" w:rsidRDefault="00191B45" w:rsidP="00191B4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Республиканский </w:t>
      </w:r>
      <w:r w:rsidRPr="00191B45">
        <w:rPr>
          <w:rFonts w:ascii="Times New Roman" w:hAnsi="Times New Roman"/>
          <w:sz w:val="30"/>
          <w:szCs w:val="30"/>
        </w:rPr>
        <w:t>конкурс технического творчества учащейся молодежи «Инженеры будущего»</w:t>
      </w:r>
      <w:r w:rsidRPr="00B93ACD">
        <w:rPr>
          <w:rFonts w:ascii="Times New Roman" w:hAnsi="Times New Roman" w:cs="Times New Roman"/>
          <w:sz w:val="30"/>
          <w:szCs w:val="30"/>
        </w:rPr>
        <w:t xml:space="preserve"> </w:t>
      </w:r>
      <w:r w:rsidRPr="005765AA">
        <w:rPr>
          <w:rFonts w:ascii="Times New Roman" w:hAnsi="Times New Roman" w:cs="Times New Roman"/>
          <w:sz w:val="30"/>
          <w:szCs w:val="30"/>
        </w:rPr>
        <w:t>проводится по следующим номинациям</w:t>
      </w:r>
      <w:r w:rsidRPr="005765AA">
        <w:rPr>
          <w:rFonts w:ascii="Times New Roman" w:eastAsia="Times New Roman" w:hAnsi="Times New Roman" w:cs="Times New Roman"/>
          <w:sz w:val="30"/>
          <w:szCs w:val="3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43"/>
        <w:gridCol w:w="1863"/>
        <w:gridCol w:w="2258"/>
        <w:gridCol w:w="2156"/>
      </w:tblGrid>
      <w:tr w:rsidR="00191B45" w:rsidRPr="0000533C" w:rsidTr="00DE4ACB">
        <w:trPr>
          <w:trHeight w:val="597"/>
          <w:jc w:val="center"/>
        </w:trPr>
        <w:tc>
          <w:tcPr>
            <w:tcW w:w="580" w:type="dxa"/>
            <w:vMerge w:val="restart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2"/>
              <w:jc w:val="center"/>
              <w:rPr>
                <w:sz w:val="30"/>
                <w:szCs w:val="30"/>
              </w:rPr>
            </w:pPr>
            <w:r w:rsidRPr="0000533C">
              <w:rPr>
                <w:sz w:val="30"/>
                <w:szCs w:val="30"/>
              </w:rPr>
              <w:t>№ п/п</w:t>
            </w:r>
          </w:p>
        </w:tc>
        <w:tc>
          <w:tcPr>
            <w:tcW w:w="2598" w:type="dxa"/>
            <w:vMerge w:val="restart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28"/>
              <w:jc w:val="center"/>
              <w:rPr>
                <w:sz w:val="30"/>
                <w:szCs w:val="30"/>
              </w:rPr>
            </w:pPr>
            <w:r w:rsidRPr="0000533C">
              <w:rPr>
                <w:sz w:val="30"/>
                <w:szCs w:val="30"/>
              </w:rPr>
              <w:t>Наименование номинации</w:t>
            </w:r>
          </w:p>
        </w:tc>
        <w:tc>
          <w:tcPr>
            <w:tcW w:w="1918" w:type="dxa"/>
            <w:vMerge w:val="restart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00533C">
              <w:rPr>
                <w:sz w:val="30"/>
                <w:szCs w:val="30"/>
              </w:rPr>
              <w:t>Максимальное количество участников в команде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00533C">
              <w:rPr>
                <w:sz w:val="30"/>
                <w:szCs w:val="30"/>
              </w:rPr>
              <w:t xml:space="preserve">Возраст участников на дату проведения заключительного этапа </w:t>
            </w:r>
            <w:r>
              <w:rPr>
                <w:sz w:val="30"/>
                <w:szCs w:val="30"/>
              </w:rPr>
              <w:t>Республиканского</w:t>
            </w:r>
            <w:r w:rsidRPr="0000533C">
              <w:rPr>
                <w:sz w:val="30"/>
                <w:szCs w:val="30"/>
              </w:rPr>
              <w:t xml:space="preserve"> конкурса, лет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00533C">
              <w:rPr>
                <w:sz w:val="30"/>
                <w:szCs w:val="30"/>
              </w:rPr>
              <w:t>Максимальное число участников от области, выходящее на республиканский этап</w:t>
            </w:r>
          </w:p>
        </w:tc>
      </w:tr>
      <w:tr w:rsidR="00191B45" w:rsidRPr="0000533C" w:rsidTr="00DE4ACB">
        <w:trPr>
          <w:trHeight w:val="628"/>
          <w:jc w:val="center"/>
        </w:trPr>
        <w:tc>
          <w:tcPr>
            <w:tcW w:w="580" w:type="dxa"/>
            <w:vMerge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sz w:val="30"/>
                <w:szCs w:val="30"/>
              </w:rPr>
            </w:pPr>
          </w:p>
        </w:tc>
        <w:tc>
          <w:tcPr>
            <w:tcW w:w="1918" w:type="dxa"/>
            <w:vMerge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0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0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0"/>
              <w:rPr>
                <w:sz w:val="30"/>
                <w:szCs w:val="30"/>
              </w:rPr>
            </w:pP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28"/>
              <w:rPr>
                <w:strike/>
                <w:sz w:val="30"/>
                <w:szCs w:val="30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>Беспилотные летательные аппараты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  <w:r>
              <w:rPr>
                <w:color w:val="000000"/>
                <w:sz w:val="30"/>
                <w:szCs w:val="30"/>
                <w:lang w:eastAsia="ru-RU"/>
              </w:rPr>
              <w:t>5</w:t>
            </w:r>
            <w:r w:rsidRPr="0000533C">
              <w:rPr>
                <w:color w:val="000000"/>
                <w:sz w:val="30"/>
                <w:szCs w:val="30"/>
                <w:lang w:eastAsia="ru-RU"/>
              </w:rPr>
              <w:t>-18</w:t>
            </w: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11-1</w:t>
            </w:r>
            <w:r>
              <w:rPr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28"/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>Электроника и связь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rStyle w:val="a6"/>
                <w:b w:val="0"/>
                <w:color w:val="000000"/>
                <w:sz w:val="30"/>
                <w:szCs w:val="30"/>
                <w:bdr w:val="none" w:sz="0" w:space="0" w:color="auto" w:frame="1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>Архитектура и дизайн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rStyle w:val="a6"/>
                <w:b w:val="0"/>
                <w:color w:val="000000"/>
                <w:sz w:val="30"/>
                <w:szCs w:val="30"/>
                <w:bdr w:val="none" w:sz="0" w:space="0" w:color="auto" w:frame="1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>Прототипирование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rStyle w:val="a6"/>
                <w:color w:val="000000"/>
                <w:sz w:val="30"/>
                <w:szCs w:val="30"/>
                <w:bdr w:val="none" w:sz="0" w:space="0" w:color="auto" w:frame="1"/>
                <w:lang w:val="en-US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 xml:space="preserve">Инженерный дизайн </w:t>
            </w: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  <w:lang w:val="en-US"/>
              </w:rPr>
              <w:t>CAD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>Дополненная и виртуальная реальность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>Веб-технологии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>Графический дизайн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</w:pPr>
            <w:r w:rsidRPr="0000533C">
              <w:rPr>
                <w:rStyle w:val="a6"/>
                <w:color w:val="000000"/>
                <w:sz w:val="30"/>
                <w:szCs w:val="30"/>
                <w:bdr w:val="none" w:sz="0" w:space="0" w:color="auto" w:frame="1"/>
              </w:rPr>
              <w:t>Инженерная экология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191B45" w:rsidRPr="0000533C" w:rsidTr="00DE4ACB">
        <w:trPr>
          <w:jc w:val="center"/>
        </w:trPr>
        <w:tc>
          <w:tcPr>
            <w:tcW w:w="580" w:type="dxa"/>
            <w:shd w:val="clear" w:color="auto" w:fill="auto"/>
          </w:tcPr>
          <w:p w:rsidR="00191B45" w:rsidRPr="0000533C" w:rsidRDefault="00191B45" w:rsidP="00191B45">
            <w:pPr>
              <w:numPr>
                <w:ilvl w:val="0"/>
                <w:numId w:val="1"/>
              </w:numPr>
              <w:tabs>
                <w:tab w:val="left" w:pos="284"/>
                <w:tab w:val="left" w:pos="375"/>
              </w:tabs>
              <w:autoSpaceDE w:val="0"/>
              <w:autoSpaceDN w:val="0"/>
              <w:adjustRightInd w:val="0"/>
              <w:ind w:left="0" w:right="140" w:firstLine="22"/>
              <w:rPr>
                <w:sz w:val="30"/>
                <w:szCs w:val="30"/>
              </w:rPr>
            </w:pPr>
          </w:p>
        </w:tc>
        <w:tc>
          <w:tcPr>
            <w:tcW w:w="2598" w:type="dxa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utoSpaceDN w:val="0"/>
              <w:adjustRightInd w:val="0"/>
              <w:ind w:right="140" w:firstLine="28"/>
              <w:rPr>
                <w:b/>
                <w:sz w:val="30"/>
                <w:szCs w:val="30"/>
              </w:rPr>
            </w:pPr>
            <w:r w:rsidRPr="0000533C">
              <w:rPr>
                <w:b/>
                <w:sz w:val="30"/>
                <w:szCs w:val="30"/>
              </w:rPr>
              <w:t>Сетевое проектирование и системная инженерия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14-18</w:t>
            </w: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  <w:tab w:val="left" w:pos="1276"/>
              </w:tabs>
              <w:ind w:right="140" w:firstLine="0"/>
              <w:rPr>
                <w:color w:val="000000"/>
                <w:sz w:val="30"/>
                <w:szCs w:val="30"/>
                <w:lang w:eastAsia="ru-RU"/>
              </w:rPr>
            </w:pPr>
            <w:r w:rsidRPr="0000533C">
              <w:rPr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191B45" w:rsidRPr="0000533C" w:rsidTr="00DE4ACB">
        <w:trPr>
          <w:jc w:val="center"/>
        </w:trPr>
        <w:tc>
          <w:tcPr>
            <w:tcW w:w="3178" w:type="dxa"/>
            <w:gridSpan w:val="2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djustRightInd w:val="0"/>
              <w:ind w:right="140" w:firstLine="28"/>
              <w:rPr>
                <w:sz w:val="30"/>
                <w:szCs w:val="30"/>
              </w:rPr>
            </w:pPr>
            <w:r w:rsidRPr="0000533C">
              <w:rPr>
                <w:sz w:val="30"/>
                <w:szCs w:val="30"/>
              </w:rPr>
              <w:t>ИТОГО (максимальное) количество участников от каждой области и г. Минска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jc w:val="center"/>
              <w:rPr>
                <w:color w:val="000000"/>
                <w:sz w:val="30"/>
                <w:szCs w:val="30"/>
              </w:rPr>
            </w:pPr>
          </w:p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</w:p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18</w:t>
            </w:r>
          </w:p>
        </w:tc>
      </w:tr>
      <w:tr w:rsidR="00191B45" w:rsidRPr="0000533C" w:rsidTr="00DE4ACB">
        <w:trPr>
          <w:jc w:val="center"/>
        </w:trPr>
        <w:tc>
          <w:tcPr>
            <w:tcW w:w="3178" w:type="dxa"/>
            <w:gridSpan w:val="2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autoSpaceDE w:val="0"/>
              <w:adjustRightInd w:val="0"/>
              <w:ind w:right="140" w:firstLine="28"/>
              <w:rPr>
                <w:sz w:val="30"/>
                <w:szCs w:val="30"/>
              </w:rPr>
            </w:pPr>
            <w:r w:rsidRPr="0000533C">
              <w:rPr>
                <w:sz w:val="30"/>
                <w:szCs w:val="30"/>
              </w:rPr>
              <w:t xml:space="preserve">ВСЕГО (максимальное) количество участников </w:t>
            </w:r>
            <w:r>
              <w:rPr>
                <w:sz w:val="30"/>
                <w:szCs w:val="30"/>
              </w:rPr>
              <w:t>Республиканского</w:t>
            </w:r>
            <w:r w:rsidRPr="0000533C">
              <w:rPr>
                <w:sz w:val="30"/>
                <w:szCs w:val="30"/>
              </w:rPr>
              <w:t xml:space="preserve"> этапа</w:t>
            </w:r>
          </w:p>
        </w:tc>
        <w:tc>
          <w:tcPr>
            <w:tcW w:w="1918" w:type="dxa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</w:p>
          <w:p w:rsidR="00191B45" w:rsidRPr="0000533C" w:rsidRDefault="00191B45" w:rsidP="00DE4ACB">
            <w:pPr>
              <w:tabs>
                <w:tab w:val="left" w:pos="284"/>
              </w:tabs>
              <w:ind w:right="140" w:firstLine="0"/>
              <w:rPr>
                <w:color w:val="000000"/>
                <w:sz w:val="30"/>
                <w:szCs w:val="30"/>
              </w:rPr>
            </w:pPr>
            <w:r w:rsidRPr="0000533C">
              <w:rPr>
                <w:color w:val="000000"/>
                <w:sz w:val="30"/>
                <w:szCs w:val="30"/>
              </w:rPr>
              <w:t>126</w:t>
            </w:r>
          </w:p>
        </w:tc>
      </w:tr>
    </w:tbl>
    <w:p w:rsidR="00191B45" w:rsidRDefault="00191B45" w:rsidP="00191B4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11A5A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>
        <w:rPr>
          <w:rFonts w:ascii="Times New Roman" w:hAnsi="Times New Roman" w:cs="Times New Roman"/>
          <w:sz w:val="30"/>
          <w:szCs w:val="30"/>
        </w:rPr>
        <w:t>Республиканского</w:t>
      </w:r>
      <w:r w:rsidRPr="00A11A5A">
        <w:rPr>
          <w:rFonts w:ascii="Times New Roman" w:hAnsi="Times New Roman" w:cs="Times New Roman"/>
          <w:sz w:val="30"/>
          <w:szCs w:val="30"/>
        </w:rPr>
        <w:t xml:space="preserve"> </w:t>
      </w:r>
      <w:r w:rsidRPr="00191B45">
        <w:rPr>
          <w:rFonts w:ascii="Times New Roman" w:hAnsi="Times New Roman" w:cs="Times New Roman"/>
          <w:sz w:val="30"/>
          <w:szCs w:val="30"/>
        </w:rPr>
        <w:t xml:space="preserve">конкурса технического творчества учащейся молодежи «Инженеры будущего» </w:t>
      </w:r>
      <w:r w:rsidRPr="00A11A5A">
        <w:rPr>
          <w:rFonts w:ascii="Times New Roman" w:hAnsi="Times New Roman" w:cs="Times New Roman"/>
          <w:sz w:val="30"/>
          <w:szCs w:val="30"/>
        </w:rPr>
        <w:t xml:space="preserve">являются обучающиеся, осваивающие содержание образовательной программы дополнительного образования детей и молодежи и являющимися учащимися учреждений общего среднего образования, а также учащиеся учреждений общего среднего образования в возрасте от </w:t>
      </w:r>
      <w:r w:rsidR="00844A08" w:rsidRPr="00844A08">
        <w:rPr>
          <w:rFonts w:ascii="Times New Roman" w:hAnsi="Times New Roman" w:cs="Times New Roman"/>
          <w:sz w:val="30"/>
          <w:szCs w:val="30"/>
        </w:rPr>
        <w:t>11</w:t>
      </w:r>
      <w:r w:rsidRPr="00A11A5A">
        <w:rPr>
          <w:rFonts w:ascii="Times New Roman" w:hAnsi="Times New Roman" w:cs="Times New Roman"/>
          <w:sz w:val="30"/>
          <w:szCs w:val="30"/>
        </w:rPr>
        <w:t xml:space="preserve"> до 18 лет (включительно)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1B45" w:rsidRPr="001000C3" w:rsidRDefault="00191B45" w:rsidP="00191B4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541E1">
        <w:rPr>
          <w:rFonts w:ascii="Times New Roman" w:hAnsi="Times New Roman"/>
          <w:sz w:val="30"/>
          <w:szCs w:val="30"/>
        </w:rPr>
        <w:t xml:space="preserve">Для организации и проведения </w:t>
      </w:r>
      <w:r>
        <w:rPr>
          <w:rFonts w:ascii="Times New Roman" w:hAnsi="Times New Roman"/>
          <w:sz w:val="30"/>
          <w:szCs w:val="30"/>
        </w:rPr>
        <w:t>Республиканского</w:t>
      </w:r>
      <w:r w:rsidRPr="001000C3">
        <w:rPr>
          <w:rFonts w:ascii="Times New Roman" w:hAnsi="Times New Roman"/>
          <w:sz w:val="30"/>
          <w:szCs w:val="30"/>
        </w:rPr>
        <w:t xml:space="preserve"> </w:t>
      </w:r>
      <w:r w:rsidRPr="00191B45">
        <w:rPr>
          <w:rFonts w:ascii="Times New Roman" w:hAnsi="Times New Roman"/>
          <w:sz w:val="30"/>
          <w:szCs w:val="30"/>
        </w:rPr>
        <w:t>конкурса технического творчества учащейся молодежи «Инженеры будущего»</w:t>
      </w:r>
      <w:r w:rsidRPr="00A541E1">
        <w:rPr>
          <w:rFonts w:ascii="Times New Roman" w:hAnsi="Times New Roman"/>
          <w:sz w:val="30"/>
          <w:szCs w:val="30"/>
        </w:rPr>
        <w:t>, подготовки национальных команд к участию в международных образовательных мероприятиях привлекаются работники учреждений образования, работники иных организаций (по согласованию).</w:t>
      </w:r>
    </w:p>
    <w:p w:rsidR="00191B45" w:rsidRPr="001000C3" w:rsidRDefault="00191B45" w:rsidP="00191B45">
      <w:pPr>
        <w:pStyle w:val="a7"/>
        <w:numPr>
          <w:ilvl w:val="0"/>
          <w:numId w:val="2"/>
        </w:numPr>
        <w:ind w:left="0"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 xml:space="preserve">Для подготовки и проведения </w:t>
      </w:r>
      <w:r>
        <w:rPr>
          <w:sz w:val="30"/>
          <w:szCs w:val="30"/>
        </w:rPr>
        <w:t>Республиканского</w:t>
      </w:r>
      <w:r w:rsidRPr="001000C3">
        <w:rPr>
          <w:sz w:val="30"/>
          <w:szCs w:val="30"/>
        </w:rPr>
        <w:t xml:space="preserve"> </w:t>
      </w:r>
      <w:r w:rsidRPr="00B57265">
        <w:rPr>
          <w:sz w:val="30"/>
          <w:szCs w:val="30"/>
        </w:rPr>
        <w:t xml:space="preserve">конкурса технического творчества учащейся молодежи </w:t>
      </w:r>
      <w:r w:rsidRPr="00B57265">
        <w:rPr>
          <w:bCs/>
          <w:kern w:val="36"/>
          <w:sz w:val="30"/>
          <w:szCs w:val="30"/>
        </w:rPr>
        <w:t>«</w:t>
      </w:r>
      <w:r w:rsidRPr="00B57265">
        <w:rPr>
          <w:sz w:val="30"/>
          <w:szCs w:val="30"/>
          <w:lang w:bidi="en-US"/>
        </w:rPr>
        <w:t>Инженеры будущего</w:t>
      </w:r>
      <w:r w:rsidRPr="00B57265">
        <w:rPr>
          <w:bCs/>
          <w:kern w:val="36"/>
          <w:sz w:val="30"/>
          <w:szCs w:val="30"/>
        </w:rPr>
        <w:t>»</w:t>
      </w:r>
      <w:r w:rsidRPr="001000C3">
        <w:rPr>
          <w:sz w:val="30"/>
          <w:szCs w:val="30"/>
        </w:rPr>
        <w:t xml:space="preserve"> на каждом этапе создаются организационные комитеты по их проведению (далее – оргкомитеты):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>на первом этапе – руководителями учреждений образования, иных организаций, принявших решение об участии в конкурсе;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>на втором, третьем этапах – соответствующими управлениями (отделами) образования местных распорядительных и исполнительных органов;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>на заключительном этапе – Министерством образования Республики Беларусь.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>Оргкомитет возглавляет председатель.</w:t>
      </w:r>
    </w:p>
    <w:p w:rsidR="00191B45" w:rsidRPr="00191B45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lastRenderedPageBreak/>
        <w:t xml:space="preserve">Оргкомитет каждого этапа </w:t>
      </w:r>
      <w:r>
        <w:rPr>
          <w:sz w:val="30"/>
          <w:szCs w:val="30"/>
        </w:rPr>
        <w:t>Республиканского</w:t>
      </w:r>
      <w:r w:rsidRPr="001000C3">
        <w:rPr>
          <w:sz w:val="30"/>
          <w:szCs w:val="30"/>
        </w:rPr>
        <w:t xml:space="preserve"> </w:t>
      </w:r>
      <w:r w:rsidRPr="00B57265">
        <w:rPr>
          <w:sz w:val="30"/>
          <w:szCs w:val="30"/>
        </w:rPr>
        <w:t xml:space="preserve">конкурса технического творчества учащейся молодежи </w:t>
      </w:r>
      <w:r w:rsidRPr="00B57265">
        <w:rPr>
          <w:bCs/>
          <w:kern w:val="36"/>
          <w:sz w:val="30"/>
          <w:szCs w:val="30"/>
        </w:rPr>
        <w:t>«</w:t>
      </w:r>
      <w:r w:rsidRPr="00B57265">
        <w:rPr>
          <w:sz w:val="30"/>
          <w:szCs w:val="30"/>
          <w:lang w:bidi="en-US"/>
        </w:rPr>
        <w:t>Инженеры будущего</w:t>
      </w:r>
      <w:r w:rsidRPr="00B57265">
        <w:rPr>
          <w:bCs/>
          <w:kern w:val="36"/>
          <w:sz w:val="30"/>
          <w:szCs w:val="30"/>
        </w:rPr>
        <w:t>»</w:t>
      </w:r>
      <w:r w:rsidRPr="00191B45">
        <w:rPr>
          <w:bCs/>
          <w:kern w:val="36"/>
          <w:sz w:val="30"/>
          <w:szCs w:val="30"/>
        </w:rPr>
        <w:t>: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>осуществляет организационно-техническое, методическое обеспечение соответствующего этапа;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>решает вопросы материально-технического обеспечения для проведения соответствующего этапа, обеспечивает организацию проживания и питания участников;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>определяет состав жюри каждой номинации;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>обеспечивает безопасность проведения соответствующего этапа;</w:t>
      </w:r>
    </w:p>
    <w:p w:rsidR="00191B45" w:rsidRPr="001000C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 xml:space="preserve">определяет и награждает победителей и призеров соответствующего этапа </w:t>
      </w:r>
      <w:r>
        <w:rPr>
          <w:sz w:val="30"/>
          <w:szCs w:val="30"/>
        </w:rPr>
        <w:t>Республиканского</w:t>
      </w:r>
      <w:r w:rsidRPr="001000C3">
        <w:rPr>
          <w:sz w:val="30"/>
          <w:szCs w:val="30"/>
        </w:rPr>
        <w:t xml:space="preserve"> </w:t>
      </w:r>
      <w:r>
        <w:rPr>
          <w:sz w:val="30"/>
          <w:szCs w:val="30"/>
        </w:rPr>
        <w:t>конкурса</w:t>
      </w:r>
      <w:r w:rsidRPr="001000C3">
        <w:rPr>
          <w:sz w:val="30"/>
          <w:szCs w:val="30"/>
        </w:rPr>
        <w:t>;</w:t>
      </w:r>
    </w:p>
    <w:p w:rsidR="00191B45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 xml:space="preserve">осуществляет иные действия по вопросам организации и проведения соответствующего этапа </w:t>
      </w:r>
      <w:r>
        <w:rPr>
          <w:sz w:val="30"/>
          <w:szCs w:val="30"/>
        </w:rPr>
        <w:t>Республиканского</w:t>
      </w:r>
      <w:r w:rsidRPr="001000C3">
        <w:rPr>
          <w:sz w:val="30"/>
          <w:szCs w:val="30"/>
        </w:rPr>
        <w:t xml:space="preserve"> </w:t>
      </w:r>
      <w:r w:rsidRPr="00B57265">
        <w:rPr>
          <w:sz w:val="30"/>
          <w:szCs w:val="30"/>
        </w:rPr>
        <w:t xml:space="preserve">конкурса технического творчества учащейся молодежи </w:t>
      </w:r>
      <w:r w:rsidRPr="00B57265">
        <w:rPr>
          <w:bCs/>
          <w:kern w:val="36"/>
          <w:sz w:val="30"/>
          <w:szCs w:val="30"/>
        </w:rPr>
        <w:t>«</w:t>
      </w:r>
      <w:r w:rsidRPr="00B57265">
        <w:rPr>
          <w:sz w:val="30"/>
          <w:szCs w:val="30"/>
          <w:lang w:bidi="en-US"/>
        </w:rPr>
        <w:t>Инженеры будущего</w:t>
      </w:r>
      <w:r w:rsidRPr="00B57265">
        <w:rPr>
          <w:bCs/>
          <w:kern w:val="36"/>
          <w:sz w:val="30"/>
          <w:szCs w:val="30"/>
        </w:rPr>
        <w:t>»</w:t>
      </w:r>
      <w:r w:rsidRPr="001000C3">
        <w:rPr>
          <w:sz w:val="30"/>
          <w:szCs w:val="30"/>
        </w:rPr>
        <w:t xml:space="preserve">. </w:t>
      </w:r>
    </w:p>
    <w:p w:rsidR="00191B45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1000C3">
        <w:rPr>
          <w:sz w:val="30"/>
          <w:szCs w:val="30"/>
        </w:rPr>
        <w:t xml:space="preserve">Оргкомитеты третьего этапа </w:t>
      </w:r>
      <w:r>
        <w:rPr>
          <w:sz w:val="30"/>
          <w:szCs w:val="30"/>
        </w:rPr>
        <w:t>Республиканского</w:t>
      </w:r>
      <w:r w:rsidRPr="001000C3">
        <w:rPr>
          <w:sz w:val="30"/>
          <w:szCs w:val="30"/>
        </w:rPr>
        <w:t xml:space="preserve"> </w:t>
      </w:r>
      <w:r w:rsidRPr="00B57265">
        <w:rPr>
          <w:sz w:val="30"/>
          <w:szCs w:val="30"/>
        </w:rPr>
        <w:t xml:space="preserve">конкурса технического творчества учащейся молодежи </w:t>
      </w:r>
      <w:r w:rsidRPr="00B57265">
        <w:rPr>
          <w:bCs/>
          <w:kern w:val="36"/>
          <w:sz w:val="30"/>
          <w:szCs w:val="30"/>
        </w:rPr>
        <w:t>«</w:t>
      </w:r>
      <w:r w:rsidRPr="00B57265">
        <w:rPr>
          <w:sz w:val="30"/>
          <w:szCs w:val="30"/>
          <w:lang w:bidi="en-US"/>
        </w:rPr>
        <w:t>Инженеры будущего</w:t>
      </w:r>
      <w:r w:rsidRPr="00B57265">
        <w:rPr>
          <w:bCs/>
          <w:kern w:val="36"/>
          <w:sz w:val="30"/>
          <w:szCs w:val="30"/>
        </w:rPr>
        <w:t>»</w:t>
      </w:r>
      <w:r>
        <w:rPr>
          <w:sz w:val="30"/>
          <w:szCs w:val="30"/>
        </w:rPr>
        <w:t xml:space="preserve"> в срок</w:t>
      </w:r>
      <w:r w:rsidR="008D39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 </w:t>
      </w:r>
      <w:r w:rsidRPr="006C7C68">
        <w:rPr>
          <w:b/>
          <w:sz w:val="30"/>
          <w:szCs w:val="30"/>
        </w:rPr>
        <w:t>05.03.2025</w:t>
      </w:r>
      <w:r>
        <w:rPr>
          <w:sz w:val="30"/>
          <w:szCs w:val="30"/>
        </w:rPr>
        <w:t xml:space="preserve"> </w:t>
      </w:r>
      <w:r w:rsidRPr="001000C3">
        <w:rPr>
          <w:sz w:val="30"/>
          <w:szCs w:val="30"/>
        </w:rPr>
        <w:t xml:space="preserve">г. в установленном порядке представляют </w:t>
      </w:r>
      <w:r w:rsidR="008D3929">
        <w:rPr>
          <w:sz w:val="30"/>
          <w:szCs w:val="30"/>
        </w:rPr>
        <w:t xml:space="preserve">заявку </w:t>
      </w:r>
      <w:r w:rsidR="004D019C">
        <w:rPr>
          <w:sz w:val="30"/>
          <w:szCs w:val="30"/>
        </w:rPr>
        <w:t>для участия</w:t>
      </w:r>
      <w:r w:rsidR="004D019C" w:rsidRPr="001000C3">
        <w:rPr>
          <w:sz w:val="30"/>
          <w:szCs w:val="30"/>
        </w:rPr>
        <w:t xml:space="preserve"> </w:t>
      </w:r>
      <w:r w:rsidRPr="001000C3">
        <w:rPr>
          <w:sz w:val="30"/>
          <w:szCs w:val="30"/>
        </w:rPr>
        <w:t xml:space="preserve">в оргкомитет </w:t>
      </w:r>
      <w:r w:rsidR="004D019C">
        <w:rPr>
          <w:sz w:val="30"/>
          <w:szCs w:val="30"/>
        </w:rPr>
        <w:t>заключительного</w:t>
      </w:r>
      <w:r w:rsidRPr="001000C3">
        <w:rPr>
          <w:sz w:val="30"/>
          <w:szCs w:val="30"/>
        </w:rPr>
        <w:t xml:space="preserve"> этап</w:t>
      </w:r>
      <w:r w:rsidR="004D019C">
        <w:rPr>
          <w:sz w:val="30"/>
          <w:szCs w:val="30"/>
        </w:rPr>
        <w:t>а</w:t>
      </w:r>
      <w:r w:rsidRPr="001000C3">
        <w:rPr>
          <w:sz w:val="30"/>
          <w:szCs w:val="30"/>
        </w:rPr>
        <w:t xml:space="preserve"> </w:t>
      </w:r>
      <w:r>
        <w:rPr>
          <w:sz w:val="30"/>
          <w:szCs w:val="30"/>
        </w:rPr>
        <w:t>Республиканского</w:t>
      </w:r>
      <w:r w:rsidRPr="001000C3">
        <w:rPr>
          <w:sz w:val="30"/>
          <w:szCs w:val="30"/>
        </w:rPr>
        <w:t xml:space="preserve"> конкурса в печатном и электронном вариантах по адресу: </w:t>
      </w:r>
      <w:r>
        <w:rPr>
          <w:sz w:val="30"/>
          <w:szCs w:val="30"/>
        </w:rPr>
        <w:t>ул. Франциска Скорины, 25</w:t>
      </w:r>
      <w:r w:rsidRPr="00191B45">
        <w:rPr>
          <w:sz w:val="30"/>
          <w:szCs w:val="30"/>
        </w:rPr>
        <w:t>к.3, 220014, г. М</w:t>
      </w:r>
      <w:r>
        <w:rPr>
          <w:sz w:val="30"/>
          <w:szCs w:val="30"/>
        </w:rPr>
        <w:t>инск (е-</w:t>
      </w:r>
      <w:proofErr w:type="spellStart"/>
      <w:r>
        <w:rPr>
          <w:sz w:val="30"/>
          <w:szCs w:val="30"/>
        </w:rPr>
        <w:t>mail</w:t>
      </w:r>
      <w:proofErr w:type="spellEnd"/>
      <w:r>
        <w:rPr>
          <w:sz w:val="30"/>
          <w:szCs w:val="30"/>
        </w:rPr>
        <w:t xml:space="preserve">: </w:t>
      </w:r>
      <w:proofErr w:type="spellStart"/>
      <w:r w:rsidRPr="00191B45">
        <w:rPr>
          <w:sz w:val="30"/>
          <w:szCs w:val="30"/>
          <w:lang w:val="en-US"/>
        </w:rPr>
        <w:t>orgmas</w:t>
      </w:r>
      <w:proofErr w:type="spellEnd"/>
      <w:r w:rsidRPr="00191B45">
        <w:rPr>
          <w:sz w:val="30"/>
          <w:szCs w:val="30"/>
        </w:rPr>
        <w:t>@</w:t>
      </w:r>
      <w:bookmarkStart w:id="0" w:name="_GoBack"/>
      <w:bookmarkEnd w:id="0"/>
      <w:proofErr w:type="spellStart"/>
      <w:r w:rsidRPr="00191B45">
        <w:rPr>
          <w:sz w:val="30"/>
          <w:szCs w:val="30"/>
          <w:lang w:val="en-US"/>
        </w:rPr>
        <w:t>ndtp</w:t>
      </w:r>
      <w:proofErr w:type="spellEnd"/>
      <w:r w:rsidRPr="00191B45">
        <w:rPr>
          <w:sz w:val="30"/>
          <w:szCs w:val="30"/>
        </w:rPr>
        <w:t>.</w:t>
      </w:r>
      <w:r w:rsidRPr="00191B45">
        <w:rPr>
          <w:sz w:val="30"/>
          <w:szCs w:val="30"/>
          <w:lang w:val="en-US"/>
        </w:rPr>
        <w:t>by</w:t>
      </w:r>
      <w:r w:rsidRPr="001000C3">
        <w:rPr>
          <w:sz w:val="30"/>
          <w:szCs w:val="30"/>
        </w:rPr>
        <w:t>), учреждение образования «Национальный детский технопарк»</w:t>
      </w:r>
    </w:p>
    <w:p w:rsidR="00191B45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230603">
        <w:rPr>
          <w:sz w:val="30"/>
          <w:szCs w:val="30"/>
        </w:rPr>
        <w:t xml:space="preserve">В заключительном этапе </w:t>
      </w:r>
      <w:r>
        <w:rPr>
          <w:sz w:val="30"/>
          <w:szCs w:val="30"/>
        </w:rPr>
        <w:t>Республиканского</w:t>
      </w:r>
      <w:r w:rsidRPr="00230603">
        <w:rPr>
          <w:sz w:val="30"/>
          <w:szCs w:val="30"/>
        </w:rPr>
        <w:t xml:space="preserve"> </w:t>
      </w:r>
      <w:r w:rsidRPr="00191B45">
        <w:rPr>
          <w:sz w:val="30"/>
          <w:szCs w:val="30"/>
        </w:rPr>
        <w:t>конкурса технического творчества учащейся молодежи «Инженеры будущего»</w:t>
      </w:r>
      <w:r>
        <w:rPr>
          <w:sz w:val="30"/>
          <w:szCs w:val="30"/>
        </w:rPr>
        <w:t xml:space="preserve"> </w:t>
      </w:r>
      <w:r w:rsidRPr="00230603">
        <w:rPr>
          <w:sz w:val="30"/>
          <w:szCs w:val="30"/>
        </w:rPr>
        <w:t xml:space="preserve">принимают участие команды областей и г. Минска, состоящие из победителей третьего этапа </w:t>
      </w:r>
      <w:r>
        <w:rPr>
          <w:sz w:val="30"/>
          <w:szCs w:val="30"/>
        </w:rPr>
        <w:t>Республиканского</w:t>
      </w:r>
      <w:r w:rsidRPr="00230603">
        <w:rPr>
          <w:sz w:val="30"/>
          <w:szCs w:val="30"/>
        </w:rPr>
        <w:t xml:space="preserve"> турнира (18 учащихся, руководители команд и </w:t>
      </w:r>
      <w:r w:rsidR="004D019C">
        <w:rPr>
          <w:sz w:val="30"/>
          <w:szCs w:val="30"/>
        </w:rPr>
        <w:t xml:space="preserve">до </w:t>
      </w:r>
      <w:r w:rsidRPr="00230603">
        <w:rPr>
          <w:sz w:val="30"/>
          <w:szCs w:val="30"/>
        </w:rPr>
        <w:t>10 сопровождающих, включая водителя).</w:t>
      </w:r>
    </w:p>
    <w:p w:rsidR="00191B45" w:rsidRPr="00230603" w:rsidRDefault="00191B45" w:rsidP="00191B45">
      <w:pPr>
        <w:pStyle w:val="a7"/>
        <w:numPr>
          <w:ilvl w:val="0"/>
          <w:numId w:val="2"/>
        </w:numPr>
        <w:ind w:left="0" w:right="140" w:firstLine="851"/>
        <w:jc w:val="both"/>
        <w:rPr>
          <w:sz w:val="30"/>
          <w:szCs w:val="30"/>
        </w:rPr>
      </w:pPr>
      <w:r w:rsidRPr="00230603">
        <w:rPr>
          <w:sz w:val="30"/>
          <w:szCs w:val="30"/>
        </w:rPr>
        <w:t xml:space="preserve">Победители заключительного этапа </w:t>
      </w:r>
      <w:r>
        <w:rPr>
          <w:sz w:val="30"/>
          <w:szCs w:val="30"/>
        </w:rPr>
        <w:t>Республиканского</w:t>
      </w:r>
      <w:r w:rsidRPr="00230603">
        <w:rPr>
          <w:sz w:val="30"/>
          <w:szCs w:val="30"/>
        </w:rPr>
        <w:t xml:space="preserve"> </w:t>
      </w:r>
      <w:r w:rsidRPr="00B57265">
        <w:rPr>
          <w:sz w:val="30"/>
          <w:szCs w:val="30"/>
        </w:rPr>
        <w:t xml:space="preserve">конкурса технического творчества учащейся молодежи </w:t>
      </w:r>
      <w:r w:rsidRPr="00B57265">
        <w:rPr>
          <w:bCs/>
          <w:kern w:val="36"/>
          <w:sz w:val="30"/>
          <w:szCs w:val="30"/>
        </w:rPr>
        <w:t>«</w:t>
      </w:r>
      <w:r w:rsidRPr="00B57265">
        <w:rPr>
          <w:sz w:val="30"/>
          <w:szCs w:val="30"/>
          <w:lang w:bidi="en-US"/>
        </w:rPr>
        <w:t>Инженеры будущего</w:t>
      </w:r>
      <w:r w:rsidRPr="00B57265">
        <w:rPr>
          <w:bCs/>
          <w:kern w:val="36"/>
          <w:sz w:val="30"/>
          <w:szCs w:val="30"/>
        </w:rPr>
        <w:t>»</w:t>
      </w:r>
      <w:r>
        <w:rPr>
          <w:bCs/>
          <w:kern w:val="36"/>
          <w:sz w:val="30"/>
          <w:szCs w:val="30"/>
        </w:rPr>
        <w:t xml:space="preserve"> </w:t>
      </w:r>
      <w:r w:rsidRPr="00230603">
        <w:rPr>
          <w:sz w:val="30"/>
          <w:szCs w:val="30"/>
        </w:rPr>
        <w:t>награждаются дипломами Министерства образования I, II, III степени соответственно и призами.</w:t>
      </w:r>
    </w:p>
    <w:p w:rsidR="00191B45" w:rsidRPr="00230603" w:rsidRDefault="00191B45" w:rsidP="00191B45">
      <w:pPr>
        <w:pStyle w:val="a7"/>
        <w:ind w:right="140" w:firstLine="851"/>
        <w:jc w:val="both"/>
        <w:rPr>
          <w:sz w:val="30"/>
          <w:szCs w:val="30"/>
        </w:rPr>
      </w:pPr>
      <w:r w:rsidRPr="00230603">
        <w:rPr>
          <w:sz w:val="30"/>
          <w:szCs w:val="30"/>
        </w:rPr>
        <w:t xml:space="preserve">По итогам проведения заключительного этапа </w:t>
      </w:r>
      <w:r>
        <w:rPr>
          <w:sz w:val="30"/>
          <w:szCs w:val="30"/>
        </w:rPr>
        <w:t>Республиканского</w:t>
      </w:r>
      <w:r w:rsidRPr="00230603">
        <w:rPr>
          <w:sz w:val="30"/>
          <w:szCs w:val="30"/>
        </w:rPr>
        <w:t xml:space="preserve"> турнира по робототехнике Министерством образования утверждается список победителей.</w:t>
      </w:r>
    </w:p>
    <w:p w:rsidR="00191B45" w:rsidRPr="00830A16" w:rsidRDefault="00191B45" w:rsidP="00191B45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14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93ACD">
        <w:rPr>
          <w:rFonts w:ascii="Times New Roman" w:hAnsi="Times New Roman" w:cs="Times New Roman"/>
          <w:sz w:val="30"/>
          <w:szCs w:val="30"/>
        </w:rPr>
        <w:t xml:space="preserve">Финансирование расходов на подготовку и проведение </w:t>
      </w:r>
      <w:r>
        <w:rPr>
          <w:rFonts w:ascii="Times New Roman" w:hAnsi="Times New Roman" w:cs="Times New Roman"/>
          <w:sz w:val="30"/>
          <w:szCs w:val="30"/>
        </w:rPr>
        <w:t>Республиканского</w:t>
      </w:r>
      <w:r w:rsidRPr="00230603">
        <w:rPr>
          <w:rFonts w:ascii="Times New Roman" w:hAnsi="Times New Roman" w:cs="Times New Roman"/>
          <w:sz w:val="30"/>
          <w:szCs w:val="30"/>
        </w:rPr>
        <w:t xml:space="preserve"> </w:t>
      </w:r>
      <w:r w:rsidRPr="00191B45">
        <w:rPr>
          <w:rFonts w:ascii="Times New Roman" w:hAnsi="Times New Roman" w:cs="Times New Roman"/>
          <w:sz w:val="30"/>
          <w:szCs w:val="30"/>
        </w:rPr>
        <w:t>конкурса технического творчества учащейся молодежи «Инженеры будущего»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93ACD">
        <w:rPr>
          <w:rFonts w:ascii="Times New Roman" w:hAnsi="Times New Roman" w:cs="Times New Roman"/>
          <w:sz w:val="30"/>
          <w:szCs w:val="30"/>
        </w:rPr>
        <w:t xml:space="preserve">осуществляется в установленном порядке за счет средств </w:t>
      </w:r>
      <w:r>
        <w:rPr>
          <w:rFonts w:ascii="Times New Roman" w:hAnsi="Times New Roman" w:cs="Times New Roman"/>
          <w:sz w:val="30"/>
          <w:szCs w:val="30"/>
        </w:rPr>
        <w:t>Республиканского</w:t>
      </w:r>
      <w:r w:rsidRPr="00B93ACD">
        <w:rPr>
          <w:rFonts w:ascii="Times New Roman" w:hAnsi="Times New Roman" w:cs="Times New Roman"/>
          <w:sz w:val="30"/>
          <w:szCs w:val="30"/>
        </w:rPr>
        <w:t xml:space="preserve"> бюджета, </w:t>
      </w:r>
      <w:r w:rsidRPr="00230603">
        <w:rPr>
          <w:rFonts w:ascii="Times New Roman" w:hAnsi="Times New Roman" w:cs="Times New Roman"/>
          <w:sz w:val="30"/>
          <w:szCs w:val="30"/>
        </w:rPr>
        <w:t xml:space="preserve">предусмотренных на проведение образовательных централизованных мероприятий, иных источников, </w:t>
      </w:r>
      <w:r>
        <w:rPr>
          <w:rFonts w:ascii="Times New Roman" w:hAnsi="Times New Roman" w:cs="Times New Roman"/>
          <w:sz w:val="30"/>
          <w:szCs w:val="30"/>
        </w:rPr>
        <w:t>не запрещенных законодательство</w:t>
      </w:r>
    </w:p>
    <w:p w:rsidR="00703140" w:rsidRDefault="00703140"/>
    <w:sectPr w:rsidR="00703140" w:rsidSect="00830A16">
      <w:headerReference w:type="default" r:id="rId7"/>
      <w:pgSz w:w="11906" w:h="16838"/>
      <w:pgMar w:top="1134" w:right="70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B3" w:rsidRDefault="00CD16C7">
      <w:r>
        <w:separator/>
      </w:r>
    </w:p>
  </w:endnote>
  <w:endnote w:type="continuationSeparator" w:id="0">
    <w:p w:rsidR="003D22B3" w:rsidRDefault="00C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B3" w:rsidRDefault="00CD16C7">
      <w:r>
        <w:separator/>
      </w:r>
    </w:p>
  </w:footnote>
  <w:footnote w:type="continuationSeparator" w:id="0">
    <w:p w:rsidR="003D22B3" w:rsidRDefault="00CD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5A" w:rsidRPr="0055182B" w:rsidRDefault="006C7C68" w:rsidP="00E73C6B">
    <w:pPr>
      <w:pStyle w:val="a4"/>
      <w:jc w:val="center"/>
      <w:rPr>
        <w:sz w:val="24"/>
        <w:szCs w:val="24"/>
      </w:rPr>
    </w:pPr>
    <w:r w:rsidRPr="0055182B">
      <w:rPr>
        <w:sz w:val="24"/>
        <w:szCs w:val="24"/>
      </w:rPr>
      <w:fldChar w:fldCharType="begin"/>
    </w:r>
    <w:r w:rsidRPr="0055182B">
      <w:rPr>
        <w:sz w:val="24"/>
        <w:szCs w:val="24"/>
      </w:rPr>
      <w:instrText>PAGE   \* MERGEFORMAT</w:instrText>
    </w:r>
    <w:r w:rsidRPr="0055182B">
      <w:rPr>
        <w:sz w:val="24"/>
        <w:szCs w:val="24"/>
      </w:rPr>
      <w:fldChar w:fldCharType="separate"/>
    </w:r>
    <w:r w:rsidR="004D019C">
      <w:rPr>
        <w:noProof/>
        <w:sz w:val="24"/>
        <w:szCs w:val="24"/>
      </w:rPr>
      <w:t>4</w:t>
    </w:r>
    <w:r w:rsidRPr="0055182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A2B9E"/>
    <w:multiLevelType w:val="multilevel"/>
    <w:tmpl w:val="5FE662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84664F2"/>
    <w:multiLevelType w:val="hybridMultilevel"/>
    <w:tmpl w:val="CE60D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5"/>
    <w:rsid w:val="00103876"/>
    <w:rsid w:val="00191B45"/>
    <w:rsid w:val="003D22B3"/>
    <w:rsid w:val="004D019C"/>
    <w:rsid w:val="006C7C68"/>
    <w:rsid w:val="00703140"/>
    <w:rsid w:val="00844A08"/>
    <w:rsid w:val="008D3929"/>
    <w:rsid w:val="00C2549D"/>
    <w:rsid w:val="00C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6A54"/>
  <w15:chartTrackingRefBased/>
  <w15:docId w15:val="{DC71FCCF-99C8-4B02-B064-FE2EA96F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45"/>
    <w:pPr>
      <w:ind w:firstLine="709"/>
    </w:pPr>
    <w:rPr>
      <w:rFonts w:eastAsia="Times New Roman" w:cs="Times New Roman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45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91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B45"/>
    <w:rPr>
      <w:rFonts w:eastAsia="Times New Roman" w:cs="Times New Roman"/>
      <w:szCs w:val="28"/>
      <w:lang w:val="ru-RU"/>
    </w:rPr>
  </w:style>
  <w:style w:type="character" w:styleId="a6">
    <w:name w:val="Strong"/>
    <w:uiPriority w:val="22"/>
    <w:qFormat/>
    <w:rsid w:val="00191B45"/>
    <w:rPr>
      <w:b/>
      <w:bCs/>
    </w:rPr>
  </w:style>
  <w:style w:type="paragraph" w:styleId="a7">
    <w:name w:val="No Spacing"/>
    <w:uiPriority w:val="1"/>
    <w:qFormat/>
    <w:rsid w:val="00191B45"/>
    <w:pPr>
      <w:ind w:firstLine="709"/>
    </w:pPr>
    <w:rPr>
      <w:rFonts w:eastAsia="Times New Roman" w:cs="Times New Roman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2024-11-27T06:14:00Z</dcterms:created>
  <dcterms:modified xsi:type="dcterms:W3CDTF">2024-12-02T08:25:00Z</dcterms:modified>
</cp:coreProperties>
</file>